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94 vom 26. September 2022</w:t>
      </w:r>
    </w:p>
    <w:p>
      <w:r>
        <w:t>GR Gerichte, 2022-09-26, DE</w:t>
      </w:r>
    </w:p>
    <w:p>
      <w:r>
        <w:rPr>
          <w:b/>
        </w:rPr>
        <w:t xml:space="preserve">Quelle: </w:t>
      </w:r>
      <w:r>
        <w:t>https://mcp.opencaselaw.ch/entscheid/gr_gerichte_ZK1 2022 94</w:t>
      </w:r>
    </w:p>
    <w:p>
      <w:r>
        <w:t>FR: GR_GERICHTE ZK1 2022 94 du 26 septembre 2022</w:t>
      </w:r>
    </w:p>
    <w:p>
      <w:r>
        <w:t>IT: GR_GERICHTE ZK1 2022 94 del 26 settembre 2022</w:t>
      </w:r>
    </w:p>
    <w:p>
      <w:pPr>
        <w:pStyle w:val="Heading2"/>
      </w:pPr>
      <w:r>
        <w:t>Regeste</w:t>
      </w:r>
    </w:p>
    <w:p>
      <w:r>
        <w:t>Kindesunterhalt/Besuchsrecht | Berufung ZGB Kindesrecht</w:t>
      </w:r>
    </w:p>
    <w:p>
      <w:pPr>
        <w:pStyle w:val="Heading2"/>
      </w:pPr>
      <w:r>
        <w:t>Erwägungen</w:t>
      </w:r>
    </w:p>
    <w:p>
      <w:r>
        <w:rPr>
          <w:b/>
        </w:rPr>
        <w:t>E. 2</w:t>
      </w:r>
    </w:p>
    <w:p>
      <w:r>
        <w:t>Sind in familienrechtlichen Angelegenheiten Kinderbelange strittig, gelten die Offizial- und die Untersuchungsmaxime; das Gericht entscheidet ohne Bindung an die Parteianträge und erforscht den Sachverhalt von Amtes wegen (Art. 296</w:t>
      </w:r>
    </w:p>
    <w:p>
      <w:r>
        <w:t>11 / 19 Abs. 1 und 3 ZPO). Bei Verfahren betreffend Kinderbelangen ist der Streitgegen- stand der Parteidisposition somit entzogen. Eine entsprechende Vereinbarung unterliegt folglich auch im Berufungsverfahren der gerichtlichen Genehmigung und wird erst mit deren Erteilung verbindlich (Benedikt Seiler, Die Berufung nach ZPO, Zürich 2013, N 411 und 1408 m.H. auf BGE 128 III 411 E. 3.1; vgl. auch Art. 287 Abs. 3 und Art. 288 Abs. 2 Ziff. 1 ZGB betreffend Unterhaltsverträge). Entgegen der Anträge der Parteien und anders als bei einem Vergleich über Streitpunkte, die ausschliesslich das Verhältnis zwischen Ehegatten betreffen, führt eine ver- gleichsweise Einigung in Verfahren um Kinderbelange nicht zu einer unmittelbaren Beendigung des Prozesses, welche entsprechend Art. 241 Abs. 2 ZPO lediglich noch in einer Abschreibungsverfügung festzustellen wäre. Vielmehr ist ein Urteil zu fällen, das sich über die Genehmigung der vorliegenden Vereinbarung aus- spricht (zu alledem vgl. KGer GR ZK1 16 31 v. 21.3.2016 E. 2; ZK1 16 190 v. 16.2.2017 E. 2). Daran vermag auch die in Randziffer 7 des Vergleichs enthaltene Erklärung, wonach sich die Berufungskläger verpflichten, die Berufung zurückzu- ziehen, nichts zu ändern. Aus dem dort enthaltenen Passus im Gegenzug ergibt sich nämlich, dass die fragliche Erklärung offensichtlich die Gültigkeit der verein- barten Änderungen des angefochtenen Entscheids voraussetzt, was wiederum eine Genehmigung der Vereinbarung bedingt. Bei der Genehmigung von Unterhaltsvereinbarungen muss geprüft werden, ob die Vereinbarung insb. den quantitativen (Art. 285 f. ZGB) und qualitativen Aspekten (Dauer, Indexierung usw.) sowie freiem Willen und reiflicher Überlegung (Art. 111, Art. 21, 23 ff. OR) entspricht. Die Ziele der Genehmigung sind die Wahrung der Interessen des Kindes, Klarheit (Vollstreckbarkeit) der Regelung, rechtliche Zuläs- sigkeit und inhaltliche Angemessenheit nach den Kriterien von Art. 285 ZGB. Die Genehmigung ist zu erteilen, wenn sich der Unterhaltsvertrag auf Grundlage der im Urteilszeitpunkt gegebenen und absehbaren zukünftigen wirtschaftlichen und anderweitigen Verhältnisse der Beteiligten als angemessen erweist. Diese Um- stände sind im Genehmigungsentscheid anzuführen (Begründungspflicht), um im Hinblick auf allfällige Abänderungsverfahren den massgebenden Ausgangstatbe- stand festzulegen. Die Genehmigung ist zu verweigern, wenn sie in einem oder mehreren Punkten diesen Anforderungen nicht genügt und die Beteiligten sich auch nicht auf eine genehmigungsfähige Alternative zu einigen vermögen (Chris- tiana Fountoulakis, in: Geiser/Fountoulakis [Hrsg.], Basler Kommentar, Zivilge- setzbuch I, 7. Aufl., Basel 2022, N 14 ff. zu Art. 287 ZGB).</w:t>
      </w:r>
    </w:p>
    <w:p>
      <w:r>
        <w:rPr>
          <w:b/>
        </w:rPr>
        <w:t>E. 3</w:t>
      </w:r>
    </w:p>
    <w:p>
      <w:r>
        <w:t>Die Parteien sind im Vergleich vom 18. August 2022 zunächst übereinge- kommen, dass sich der Kindsvater in Ergänzung zu Ziffer 2 des Urteils des Regio-</w:t>
      </w:r>
    </w:p>
    <w:p>
      <w:r>
        <w:t>12 / 19 nalgerichts Plessur vom 10. März 2020, mitgeteilt am 12. Mai 2022, verpflichtet, zusätzlich zu den festgelegten Unterhaltsbeiträgen die Kosten der ausserordentli- chen Bedürfnisse der Kinder im Sinne von Art. 286 Abs. 3 ZGB vollumfänglich zu übernehmen (act. A.3.I, N 5). Die Vorinstanz hat die Frage der ausserordentlichen Kosten im angefochtenen Urteil trotz entsprechender Anträge der Berufungskläger nicht thematisiert. Die Genehmigungsfähigkeit dieser Vereinbarung ist nachfol- gend zu prüfen.</w:t>
      </w:r>
    </w:p>
    <w:p>
      <w:r>
        <w:rPr>
          <w:b/>
        </w:rPr>
        <w:t>E. 3.1</w:t>
      </w:r>
    </w:p>
    <w:p>
      <w:r>
        <w:t>Nach Art. 286 Abs. 3 ZGB kann das Gericht die Eltern bei nicht vorherge- sehenen ausserordentlichen Bedürfnissen des Kindes zur Leistung eines beson- deren Beitrags verpflichten. Beispielhaft genannt werden können die Kosten ärztli- cher Versorgung, soweit diese nicht von der obligatorischen Krankenversicherung gedeckt werden, Zahnarztkosten oder Kosten für schulischen Stütz- oder Nachhil- feunterricht (Sabine Aeschlimann, in: Fankhauser [Hrsg.], FamKomm Scheidung, Band I: ZGB, 4. Aufl., Bern 2022, N 22 zu Art. 286 ZGB). Die ausserordentlichen Kosten sind von den Eltern im Grundsatz nach Massgabe ihrer Leistungsfähigkeit zu tragen (Aeschlimann, a.a.O., N 25 zu Art. 286 ZGB). Die Zusprechung eines ausserordentlichen Beitrags nach Art. 286 Abs. 3 ZGB kommt nur dann in Be- tracht, wenn dies die Leistungsfähigkeit des belangten Elternteils unter Berück- sichtigung sämtlicher bestehenden Beitragspflichten ohne Eingriff in sein Exis- tenzminimum erlaubt (Aeschlimann, a.a.O., N 24 zu Art. 286 ZGB).</w:t>
      </w:r>
    </w:p>
    <w:p>
      <w:r>
        <w:rPr>
          <w:b/>
        </w:rPr>
        <w:t>E. 3.2</w:t>
      </w:r>
    </w:p>
    <w:p>
      <w:r>
        <w:t>Wie aus dem angefochtenen Urteil hervorgeht, verfügt der Vater mit Aus- nahme der vierten Phase, welche indes mittlerweile in der Vergangenheit liegt, in sämtlichen Unterhaltsphasen über einen Überschuss. So beläuft sich sein monat- licher Überschussanteil in der zwischenzeitlich angebrochenen fünften Phase auf rund CHF 820.00, in der sechsten Phase auf rund CHF 480.00, in der siebten Phase auf rund CHF 350.00, in der achten Phase auf rund CHF 770.00, in der neunten Phase gar auf rund CHF 1'290.00, in der zehnten Phase auf rund CHF 1'890.00 und in der letzten Phase auf rund CHF 2'230.00 (zu alledem act. B.1 E. 9.5. ff.). Die aktuelle und künftige Leistungsfähigkeit des Vaters lässt die Über- nahme ausserordentlicher Bedürfnisse der Kinder somit voraussichtlich ohne Ein- griff in sein Existenzminimum zu. Ausserdem trägt sie seiner im Vergleich zur Mut- ter höheren Leistungsfähigkeit Rechnung. Daher erweist sich die vereinbarte Re- gelung als angemessen und ist mit dem Kindeswohl vereinbar.</w:t>
      </w:r>
    </w:p>
    <w:p>
      <w:r>
        <w:rPr>
          <w:b/>
        </w:rPr>
        <w:t>E. 4</w:t>
      </w:r>
    </w:p>
    <w:p>
      <w:r>
        <w:t>Auf ihre Genehmigungsfähigkeit hin zu prüfen ist weiter die zweite in der Vereinbarung vom 18. August 2022 von den Parteien getroffene Regelung. Da- nach soll Ziffer 4 des Dispositivs des angefochtenen Urteils wie folgt abgeändert werden: Dem Kindsvater wird das Recht eingeräumt, seine beiden Kinder jeden</w:t>
      </w:r>
    </w:p>
    <w:p>
      <w:r>
        <w:t>13 / 19 zweiten Samstag von 14:00 bis 17:00 Uhr auf eigene Kosten bei sich auf Besuch zu nehmen. Diese Regelung soll mindestens bis zum Zeitpunkt gelten, in welchem sich die Wohnverhältnisse des Kindsvaters erstmals ändern, wobei sich die Par- teien verpflichten, die Betreuungsregelung zu diesem Zeitpunkt neu zu vereinba- ren. Die Vorinstanz hatte demgegenüber bereits eine schrittweise und konkret festgelegte Ausdehnung des Besuchsrechts sowie ein Ferienrecht des Vaters vor- gesehen und eine Feiertagsregelung getroffen (vgl. act. B.1 E. 3.3.).</w:t>
      </w:r>
    </w:p>
    <w:p>
      <w:r>
        <w:rPr>
          <w:b/>
        </w:rPr>
        <w:t>E. 4.1</w:t>
      </w:r>
    </w:p>
    <w:p>
      <w:r>
        <w:t>Eltern, denen die elterliche Sorge oder Obhut nicht zusteht, und das min- derjährige Kind haben gemäss Art. 273 Abs. 1 ZGB gegenseitig Anspruch auf an- gemessenen persönlichen Verkehr. Gemäss dem vorinstanzlichen Entscheid wur- den die Berufungskläger unter der alleinigen elterlichen Sorge und Obhut der Mut- ter belassen (act. B.1 E. 3.2 u. Dispositivziffer 1). Dieser Punkt wurde nicht ange- fochten und ist daher in Teilrechtskraft erwachsen (Art. 315 Abs. 1 ZPO; act. A.1 II.1). Folglich steht dem Vater und Berufungsbeklagten das Recht auf persönlichen Verkehr mit seinen Kindern zu, und es trifft ihn gleichzeitig die Pflicht, dieses Recht wahrzunehmen (sog. gegenseitiges Pflichtrecht). Das Recht des Kindes auf regelmässige Pflege der persönlichen Beziehung zu beiden Elternteilen ist in Art. 298 Abs. 2bis und Art. 298b Abs. 3bis ZGB und auch in Art. 9 Abs. 3 des Übe- reinkommens vom 20. November 1989 über die Rechte des Kindes (SR 0.107) verankert (Andrea Büchler, in: Fankhauser [Hrsg.], FamKomm Scheidung, Band I: ZGB, 4. Aufl., Bern 2022, N 8 zu Art. 273 ZGB). Das Recht auf persönlichen Ver- kehr dient dem Aufbau und der Pflege der inneren Verbundenheit zwischen dem Elternteil, der nicht mit dem Kind in häuslicher Gemeinschaft lebt, und dem min- derjährigen Kind (Büchler, a.a.O., N 6 zu Art. 273 ZGB). Zwar haben sich in der Gerichtspraxis sogenannte übliche Besuchsrechte eingebürgert (Büchler, a.a.O., N 22 ff. zu Art. 273 ZGB). Ob ein persönlicher Verkehr in seiner Ausgestaltung angemessen ist, lässt sich aber grundsätzlich nur anhand der Umstände des Ein- zelfalls unter Berücksichtigung des Zwecks des Besuchsrechts bestimmen. Obers- te Richtschnur bildet das Kindeswohl, wobei allfällige Interessen der Eltern zurückzustehen haben. Unter anderem sind etwa folgende Umstände bei der Re- gelung des persönlichen Verkehrs zu berücksichtigen: Alter des Kindes, Persön- lichkeit und Bedürfnisse des Kindes und des Besuchsberechtigten, Beziehung des Kindes zum Besuchsberechtigten, Beziehung der Eltern untereinander, zeitliche Beanspruchung bzw. Verfügbarkeit aller Beteiligten, Gesundheitszustand der Be- teiligten, Geschwister, Entfernung bzw. Erreichbarkeit der Wohnorte, Wohnver- hältnisse beim besuchsberechtigten Elternteil (zu alledem vgl. Ingeborg Schwen- zer/Michelle Cottier, in: Geiser/Fountoulakis [Hrsg.], Basler Kommentar, Zivilge- setzbuch I, 7. Aufl., Basel 2022, N 10 zu Art. 273 ZGB m.w.H.).</w:t>
      </w:r>
    </w:p>
    <w:p>
      <w:r>
        <w:t>14 / 19</w:t>
      </w:r>
    </w:p>
    <w:p>
      <w:r>
        <w:rPr>
          <w:b/>
        </w:rPr>
        <w:t>E. 4.2</w:t>
      </w:r>
    </w:p>
    <w:p>
      <w:r>
        <w:t>Aus den Akten ergibt sich, dass der Vater das Besuchsrecht bis anhin ledig- lich für einigen Stunden am Wochenende ausgeübt hat (vgl. act. B.1 E. 3.3; act. A.1 Ziff. II.D.2). Zu beachten ist sodann, dass A._____ an gesundheitlichen Problemen leidet (Asthma, Reizdarmsyndrom mit begleitender Fructose- und Lac- toseintoleranz und chronischer Obstipation, vgl. act. B.3), wobei die Mutter in der Berufung Zweifel äusserte, dass der Vater ausreichend geübt ist, mit diesen Krankheiten umzugehen. Hinzu tritt der Umstand, dass die Wohnsituation des Va- ters für Besuche der Kinder nicht optimal ist. Der Vater lebt offenbar mit seiner Mutter zusammen, wobei er seine Kinder nach Angaben der Kindsmutter in der Berufungsschrift nicht nach Hause zu ihrer Grossmutter mitnehmen darf. Über- nachtungen seien bis zum Bezug einer eigenen Wohnung ausgeschlossen (act. A.1 Ziff. II.D.2).</w:t>
      </w:r>
    </w:p>
    <w:p>
      <w:r>
        <w:rPr>
          <w:b/>
        </w:rPr>
        <w:t>E. 4.3</w:t>
      </w:r>
    </w:p>
    <w:p>
      <w:r>
        <w:t>Unter diesen Umständen erscheint es gerechtfertigt, dass das Besuchs- recht des Vaters vorerst noch nicht ausgedehnt, sondern bei drei Stunden jeden zweiten Samstag belassen und die Betreuungsregelung erst im Zeitpunkt, in dem sich die Wohnverhältnisse des Vaters ändern, angepasst wird. Damit wird den Bedenken der Mutter im Hinblick auf die medizinische Betreuung von A._____ sowie der aussergewöhnlichen Wohnsituation des Vaters Rechnung getragen. Gleichzeitig gewährleistet diese Regelung regelmässige Kontakte zwischen dem Vater und den Kindern und trägt damit dem Aspekt Rechnung, dass im Hinblick auf die weitere Entwicklung und Identitätsfindung die Beziehung der Kinder auch zum Vater von grosser Wichtigkeit ist. Die von den Parteien einvernehmlich getrof- fene Lösung erscheint daher angemessen und dem Kindeswohl entsprechend.</w:t>
      </w:r>
    </w:p>
    <w:p>
      <w:r>
        <w:rPr>
          <w:b/>
        </w:rPr>
        <w:t>E. 5</w:t>
      </w:r>
    </w:p>
    <w:p>
      <w:r>
        <w:t>Zusammenfassend bleibt festzuhalten, dass sich die Parteien im Vergleich vom 18. August 2022 aussergerichtlich über sämtliche im Berufungsverfahren noch strittigen Punkte umfassend geeinigt und eine den konkreten Umständen angemessene sowie den allseitigen Bedürfnissen entsprechende Regelung getrof- fen haben, welche zudem mit dem Wohl der Kinder in Einklang steht. Es waren beide Parteien anwaltlich vertreten und beraten. Im Rahmen des Berufungsverfah- rens haben sich die Parteien ausserdem erneut mit den zur Diskussion stehenden Rechtsfragen und dem Prozessstoff beschäftigt. Demnach ist davon auszugehen, dass der dem Gericht eingereichte Vergleich aus freiem Willen geschlossen wor- den ist, und sich beide Parteien überdies der Tragweite der getroffenen Vereinba- rungen bewusst sind. Der Vergleich ist ausserdem in der notwendigen Klarheit abgefasst und regelt die strittigen Punkte vollständig. Daher kann der ausserge- richtliche Vergleich vom 18. August 2022 genehmigt werden. Infolgedessen wird Dispositivziffer 2 des angefochtenen Entscheids vom 10. März 2020 mit der Rege-</w:t>
      </w:r>
    </w:p>
    <w:p>
      <w:r>
        <w:t>15 / 19 lung betreffend die Tragung der Kosten für ausserordentliche Bedürfnisse ergänzt. Zudem wird Dispositivziffer 4 betreffend das Besuchsrecht durch die neue einver- nehmlich getroffene Regelung ersetzt. Die Berufung von A._____ und C._____ wird somit in formeller Hinsicht durch einen gerichtlich genehmigten Vergleich erledigt, soweit sie nicht als durch Rückzug erledigt abzuschreiben ist (vgl. dazu sogleich E. 6). Der Vergleich wird in den relevanten Punkten in das Dispositiv des vorliegenden Urteils aufgenommen. Im Übrigen bleibt der vorinstanzliche Ent- scheid unverändert.</w:t>
      </w:r>
    </w:p>
    <w:p>
      <w:r>
        <w:rPr>
          <w:b/>
        </w:rPr>
        <w:t>E. 6</w:t>
      </w:r>
    </w:p>
    <w:p>
      <w:r>
        <w:t>Die Berufungskläger teilten mit Eingabe vom 22. Juni 2022 mit, die Beru- fung teilweise zurückzuziehen. Der Rückzug beschränkte sich auf den Antrag be- treffend Anordnung einer Besuchsrechtsbeistandschaft.</w:t>
      </w:r>
    </w:p>
    <w:p>
      <w:r>
        <w:rPr>
          <w:b/>
        </w:rPr>
        <w:t>E. 6.1</w:t>
      </w:r>
    </w:p>
    <w:p>
      <w:r>
        <w:t>Ein Rückzug der Berufung ist auch in den von der Offizialmaxime beherrschten Verfahren zulässig und kann daher auch in einem Verfahren betreffend Kinderbelange wirksam erklärt werden (vgl. Peter Reetz, in: Sutter- Somm/Hasen-böhler/Leuenberger [Hrsg.], Kommentar zur Schweizerischen Zivil- prozessordnung [ZPO], 3. Aufl., Zürich 2016, N 39 Vorbemerkungen zu den Art. 308-318 ZPO; Seiler, a.a.O., N 632). Für die Ergreifung von erforderlichen Kindesschutzmassnahmen wäre nach einem Klage- bzw. Berufungsrückzug die Kindesschutzbehörde zuständig (Annette Spycher, in: Hausheer/Walter [Hrsg.], Berner Kommentar, Schweizerische Zivilprozessordnung, Band II, Bern 2012, N 16 zu Art. 296 ZPO).</w:t>
      </w:r>
    </w:p>
    <w:p>
      <w:r>
        <w:rPr>
          <w:b/>
        </w:rPr>
        <w:t>E. 6.2</w:t>
      </w:r>
    </w:p>
    <w:p>
      <w:r>
        <w:t>Gleich wie ein Klagerückzug führt auch der Rückzug einer Berufung als Entscheidsurrogat zur unmittelbaren Beendigung des Prozesses (Art. 241 Abs. 2 ZPO). Das Gesetz schreibt in Art. 241 Abs. 3 ZPO zwingend vor, dass das Gericht das Verfahren zwecks Feststellung der Prozesserledigung abschreibt. Die Abschreibungsverfügung ist – mit Ausnahme des Kostenentscheids – indessen rein deklaratorischer Natur (vgl. Julia Gschwend/Daniel Steck, in: Spühler/Tenchio/Infanger [Hrsg.], Basler Kommentar, Schweizerische Zivilprozessordnung, 3. Aufl., Basel 2017, N 16 zu Art. 241 ZPO; Seiler, a.a.O., Rz 414). Da der Rückzug vorliegend auf eines von mehreren Berufungsbegehren beschränkt ist, handelt es sich um einen Teilrückzug, womit eine teilweise Abschreibung der Berufung erfolgt (zur Zulässigkeit des Teilrückzugs siehe Gschwend/Steck, a.a.O., N 29 zu Art. 241 ZPO).</w:t>
      </w:r>
    </w:p>
    <w:p>
      <w:r>
        <w:rPr>
          <w:b/>
        </w:rPr>
        <w:t>E. 7</w:t>
      </w:r>
    </w:p>
    <w:p>
      <w:r>
        <w:t>Zu regeln verbleiben die Kosten des Berufungsverfahrens.</w:t>
      </w:r>
    </w:p>
    <w:p>
      <w:r>
        <w:t>16 / 19</w:t>
      </w:r>
    </w:p>
    <w:p>
      <w:r>
        <w:rPr>
          <w:b/>
        </w:rPr>
        <w:t>E. 7.1</w:t>
      </w:r>
    </w:p>
    <w:p>
      <w:r>
        <w:t>Nach Art. 106 Abs. 1 ZPO werden die Prozesskosten, wozu sowohl die Ge- richtskosten als auch die Parteientschädigungen zählen (Art. 95 Abs. 1 ZPO), der unterliegenden Partei auferlegt. Bei Nichteintreten und bei Klagerückzug gilt die klagende Partei, bei Anerkennung der Klage die beklagte Partei als unterliegend. Hat keine Partei vollständig obsiegt, werden die Prozesskosten nach dem Aus- gang des Verfahrens verteilt (Art. 106 Abs. 2 ZPO). In familienrechtlichen Verfah- ren kann das Gericht von diesen Verteilungsgrundsätzen abweichen und die Pro- zesskosten nach Ermessen verteilen (Art. 107 Abs. 1 lit. c ZPO). Bei einem ge- richtlichen Vergleich trägt jede Partei die Prozesskosten nach Massgabe des Ver- gleichs (Art. 109 Abs. 1 ZPO). Enthält der Vergleich keine Regelung, werden die Kosten nach den Art. 106 bis 108 ZPO verteilt (Art. 109 Abs. 2 lit. a ZPO).</w:t>
      </w:r>
    </w:p>
    <w:p>
      <w:r>
        <w:rPr>
          <w:b/>
        </w:rPr>
        <w:t>E. 7.2</w:t>
      </w:r>
    </w:p>
    <w:p>
      <w:r>
        <w:t>Die Kosten des Berufungsverfahrens werden vorliegend auf CHF 1'500.00 festgesetzt (Art. 9 VGZ [BR 320.210]). Da die Parteien im Vergleich vom 18. Au- gust 2022 nur in Bezug auf die Parteikosten, nicht aber hinsichtlich der Gerichts- kosten eine Regelung getroffen haben, richtet sich die Verteilung der Gerichtskos- ten nach Art. 106 ff. ZPO. Die Begehren der Berufungskläger betreffend die Tra- gung der Kosten für die ausserordentlichen Bedürfnisse der Kinder sowie die Aus- gestaltung des Besuchsrechts flossen grundsätzlich unverändert in den Vergleich ein (act. A.1 Ziff. I.A.1 f.; act. A.3.I N 5 f.). Es ist in diesem Punkt daher von einem Obsiegen der Berufungskläger auszugehen. Aufgrund des Teilrückzugs als unter- legen gelten die Berufungskläger dagegen in Bezug auf den Antrag auf Errichtung einer Besuchsrechtsbeistandschaft. In Anbetracht dieser Umstände und in Ausü- bung des der Berufungsinstanz gestützt auf Art. 107 Abs. 1 lit. c ZPO zustehenden Ermessens gehen die Gerichtskosten zu zwei Dritteln (d.h. zu CHF 1'000.00) zu Lasten des Berufungsbeklagten und zu einem Drittel (d.h. zu CHF 500.00) zu Las- ten der Berufungskläger. Letztere tragen die ihnen auferlegten Kosten je zur Hälf- te. Die Parteikosten trägt entsprechend der Regelung im Vergleich vom 18. Au- gust 2022 jede Partei selbst.</w:t>
      </w:r>
    </w:p>
    <w:p>
      <w:r>
        <w:rPr>
          <w:b/>
        </w:rPr>
        <w:t>E. 7.3</w:t>
      </w:r>
    </w:p>
    <w:p>
      <w:r>
        <w:t>Allen Parteien wurde mit Verfügung vom 5. September 2022 die unentgeltli- che Rechtspflege bewilligt (ZK1 22 95 und ZK1 22 129). Der jeweilige Anteil an den Gerichtskosten sowie die jeweiligen Kosten der Rechtsvertretung gehen da- her nach Massgabe von Art. 122 ZPO zu Lasten des Kantons Graubünden. Der geltend gemachte Aufwand für die anwaltliche Vertretung wird entschädigt, sofern er angemessen und für die Prozessführung erforderlich ist (Art. 122 Abs. 1 lit. a ZPO; BGer 5A_209/2016 v. 12.5.2016 E. 2.1). Mit Honorarnote vom 22. Au- gust 2022 macht der Rechtsvertreter von A._____ und C._____ einen Aufwand von insgesamt 8.1 Stunden geltend. Bei dem für den unentgeltlichen Rechtsvertre-</w:t>
      </w:r>
    </w:p>
    <w:p>
      <w:r>
        <w:t>17 / 19 ter massgebenden Stundenansatz von CHF 200.00 (Art. 5 Abs. 1 HV [BR 310.250]) entspricht das einer Entschädigung von gerundet CHF 1'800.00 (inkl. 3 % Barauslagen und 7.7 % Mehrwertsteuer; vgl. act. G.2). Der geltend ge- machte Aufwand erscheint für die Instruktionsbesprechung mit der Mutter der Be- rufungskläger, die Ausarbeitung des Gesuchs um unentgeltliche Rechtspflege und der Berufungsschrift, für die damit zusammenhängenden Korrespondenzen sowie die Vergleichsverhandlungen als angemessen. Der Rechtsvertreter des Beru- fungsbeklagten machte in seinem Gesuch um unentgeltliche Rechtspflege vom 19. August 2022 für die Vergleichsverhandlungen und die Ausarbeitung des Ge- suchs um unentgeltliche Rechtspflege einen Aufwand von 6.5 Stunden geltend (act. A.1 N 10 [ZK1 22 129]), was ebenfalls angemessen erscheint. In Anwendung des für den unentgeltlichen Rechtsvertreter massgebenden Stundenansatzes von CHF 200.00 ergibt das eine Entschädigung von gerundet CHF 1'440.00 (inkl. 3 % Barauslagen und 7.7 % Mehrwertsteuer). Die Honorare der Rechtsvertreter wer- den aus der Gerichtskasse des Kantonsgerichts bezahlt. Vorbehalten bleibt die Rückforderung durch den Kostenträger im Sinne von Art. 123 ZPO, wonach eine Partei, der die unentgeltliche Rechtspflege gewährt wurde, zur Nachzahlung ver- pflichtet ist, sobald sie dazu in der Lage ist.</w:t>
      </w:r>
    </w:p>
    <w:p>
      <w:r>
        <w:rPr>
          <w:b/>
        </w:rPr>
        <w:t>E. 8</w:t>
      </w:r>
    </w:p>
    <w:p>
      <w:r>
        <w:t>Gemäss Art. 18 Abs. 3 GOG [BR 173.000] i.V.m. Art. 11 Abs. 2 KGV [BR 173.100] entscheidet die zuständige Kammervorsitzende in einzelrichterlicher Kompetenz, wenn ein Rechtsmittel offensichtlich unzulässig oder offensichtlich begründet oder unbegründet ist. Nachdem die Voraussetzun- gen für die Genehmigung des Vergleichs offensichtlich erfüllt sind, ergeht das vor- liegende Urteil in einzelrichterlicher Kompetenz. Ebenso fällt die Abschreibung der Berufung zufolge Rückzugs gemäss Art. 9 Abs. 2 GOG i.V.m. Art. 11 Abs. 2 KGV in die Kompetenz der Kammervorsitzenden.</w:t>
      </w:r>
    </w:p>
    <w:p>
      <w:r>
        <w:t>18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